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01" w:rsidRPr="00A90BDB" w:rsidRDefault="00BE5201" w:rsidP="00BE5201">
      <w:pPr>
        <w:spacing w:after="0" w:line="240" w:lineRule="auto"/>
        <w:jc w:val="center"/>
        <w:rPr>
          <w:rFonts w:ascii="Times New Roman" w:eastAsia="Times New Roman" w:hAnsi="Times New Roman" w:cs="Times New Roman"/>
          <w:b/>
          <w:color w:val="2D2D2D"/>
        </w:rPr>
      </w:pPr>
      <w:r w:rsidRPr="00A90BDB">
        <w:rPr>
          <w:rFonts w:ascii="Times New Roman" w:hAnsi="Times New Roman" w:cs="Times New Roman"/>
          <w:noProof/>
        </w:rPr>
        <w:drawing>
          <wp:inline distT="0" distB="0" distL="0" distR="0" wp14:anchorId="5D00B6A7" wp14:editId="7F6C0313">
            <wp:extent cx="2187828" cy="783800"/>
            <wp:effectExtent l="0" t="0" r="3175" b="0"/>
            <wp:docPr id="1" name="Picture 1" descr="BOTJ-F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J-FG-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4815" cy="789886"/>
                    </a:xfrm>
                    <a:prstGeom prst="rect">
                      <a:avLst/>
                    </a:prstGeom>
                    <a:noFill/>
                    <a:ln>
                      <a:noFill/>
                    </a:ln>
                  </pic:spPr>
                </pic:pic>
              </a:graphicData>
            </a:graphic>
          </wp:inline>
        </w:drawing>
      </w:r>
    </w:p>
    <w:p w:rsidR="00BE5201" w:rsidRPr="00A90BDB" w:rsidRDefault="00BE5201" w:rsidP="00BE5201">
      <w:pPr>
        <w:spacing w:after="0" w:line="240" w:lineRule="auto"/>
        <w:jc w:val="center"/>
        <w:rPr>
          <w:rFonts w:ascii="Times New Roman" w:eastAsia="Times New Roman" w:hAnsi="Times New Roman" w:cs="Times New Roman"/>
          <w:b/>
          <w:color w:val="2D2D2D"/>
        </w:rPr>
      </w:pPr>
    </w:p>
    <w:p w:rsidR="00BE5201" w:rsidRPr="00A90BDB" w:rsidRDefault="00BE5201" w:rsidP="00BE5201">
      <w:pPr>
        <w:spacing w:after="0" w:line="240" w:lineRule="auto"/>
        <w:jc w:val="center"/>
        <w:rPr>
          <w:rFonts w:ascii="Times New Roman" w:eastAsia="Times New Roman" w:hAnsi="Times New Roman" w:cs="Times New Roman"/>
          <w:b/>
          <w:color w:val="2D2D2D"/>
          <w:sz w:val="28"/>
          <w:szCs w:val="28"/>
        </w:rPr>
      </w:pPr>
      <w:r w:rsidRPr="00A90BDB">
        <w:rPr>
          <w:rFonts w:ascii="Times New Roman" w:eastAsia="Times New Roman" w:hAnsi="Times New Roman" w:cs="Times New Roman"/>
          <w:b/>
          <w:color w:val="2D2D2D"/>
          <w:sz w:val="28"/>
          <w:szCs w:val="28"/>
        </w:rPr>
        <w:t xml:space="preserve">Bank of the James Announces </w:t>
      </w:r>
      <w:r>
        <w:rPr>
          <w:rFonts w:ascii="Times New Roman" w:eastAsia="Times New Roman" w:hAnsi="Times New Roman" w:cs="Times New Roman"/>
          <w:b/>
          <w:color w:val="2D2D2D"/>
          <w:sz w:val="28"/>
          <w:szCs w:val="28"/>
        </w:rPr>
        <w:t>Second Quarter, First Half 2018</w:t>
      </w:r>
    </w:p>
    <w:p w:rsidR="00BE5201" w:rsidRPr="00A90BDB" w:rsidRDefault="00BE5201" w:rsidP="00BE5201">
      <w:pPr>
        <w:spacing w:after="0" w:line="240" w:lineRule="auto"/>
        <w:jc w:val="center"/>
        <w:rPr>
          <w:rFonts w:ascii="Times New Roman" w:eastAsia="Times New Roman" w:hAnsi="Times New Roman" w:cs="Times New Roman"/>
          <w:b/>
          <w:color w:val="2D2D2D"/>
        </w:rPr>
      </w:pPr>
      <w:r w:rsidRPr="00A90BDB">
        <w:rPr>
          <w:rFonts w:ascii="Times New Roman" w:eastAsia="Times New Roman" w:hAnsi="Times New Roman" w:cs="Times New Roman"/>
          <w:b/>
          <w:color w:val="2D2D2D"/>
          <w:sz w:val="28"/>
          <w:szCs w:val="28"/>
        </w:rPr>
        <w:t>Financial Results and Declaration of Dividend</w:t>
      </w:r>
    </w:p>
    <w:p w:rsidR="00BE5201" w:rsidRDefault="00BE5201" w:rsidP="00BE5201">
      <w:pPr>
        <w:spacing w:after="0" w:line="240" w:lineRule="auto"/>
        <w:jc w:val="center"/>
        <w:rPr>
          <w:rFonts w:ascii="Times New Roman" w:eastAsia="Times New Roman" w:hAnsi="Times New Roman" w:cs="Times New Roman"/>
          <w:i/>
          <w:color w:val="2D2D2D"/>
        </w:rPr>
      </w:pPr>
      <w:r>
        <w:rPr>
          <w:rFonts w:ascii="Times New Roman" w:eastAsia="Times New Roman" w:hAnsi="Times New Roman" w:cs="Times New Roman"/>
          <w:i/>
          <w:color w:val="2D2D2D"/>
        </w:rPr>
        <w:t>Strong Year-Over-Year Net Income Growth, Loan Growth, Asset Quality Stability</w:t>
      </w:r>
    </w:p>
    <w:p w:rsidR="00BE5201" w:rsidRPr="00A90BDB" w:rsidRDefault="00BE5201" w:rsidP="00BE5201">
      <w:pPr>
        <w:spacing w:after="0" w:line="240" w:lineRule="auto"/>
        <w:jc w:val="center"/>
        <w:rPr>
          <w:rFonts w:ascii="Times New Roman" w:eastAsia="Times New Roman" w:hAnsi="Times New Roman" w:cs="Times New Roman"/>
          <w:color w:val="2D2D2D"/>
        </w:rPr>
      </w:pPr>
    </w:p>
    <w:p w:rsidR="00BE5201" w:rsidRPr="00A90BDB" w:rsidRDefault="00BE5201" w:rsidP="00BE5201">
      <w:pPr>
        <w:spacing w:after="125" w:line="240" w:lineRule="auto"/>
        <w:rPr>
          <w:rFonts w:ascii="Times New Roman" w:eastAsia="Times New Roman" w:hAnsi="Times New Roman" w:cs="Times New Roman"/>
          <w:color w:val="2D2D2D"/>
        </w:rPr>
      </w:pPr>
      <w:r w:rsidRPr="00A90BDB">
        <w:rPr>
          <w:rFonts w:ascii="Times New Roman" w:eastAsia="Times New Roman" w:hAnsi="Times New Roman" w:cs="Times New Roman"/>
          <w:b/>
          <w:color w:val="2D2D2D"/>
        </w:rPr>
        <w:t xml:space="preserve">LYNCHBURG, Va., </w:t>
      </w:r>
      <w:r>
        <w:rPr>
          <w:rFonts w:ascii="Times New Roman" w:eastAsia="Times New Roman" w:hAnsi="Times New Roman" w:cs="Times New Roman"/>
          <w:b/>
          <w:color w:val="2D2D2D"/>
        </w:rPr>
        <w:t>July 20</w:t>
      </w:r>
      <w:r w:rsidRPr="00A90BDB">
        <w:rPr>
          <w:rFonts w:ascii="Times New Roman" w:eastAsia="Times New Roman" w:hAnsi="Times New Roman" w:cs="Times New Roman"/>
          <w:b/>
          <w:color w:val="2D2D2D"/>
        </w:rPr>
        <w:t>, 201</w:t>
      </w:r>
      <w:r>
        <w:rPr>
          <w:rFonts w:ascii="Times New Roman" w:eastAsia="Times New Roman" w:hAnsi="Times New Roman" w:cs="Times New Roman"/>
          <w:b/>
          <w:color w:val="2D2D2D"/>
        </w:rPr>
        <w:t>8</w:t>
      </w:r>
      <w:r w:rsidRPr="00A90BDB">
        <w:rPr>
          <w:rFonts w:ascii="Times New Roman" w:eastAsia="Times New Roman" w:hAnsi="Times New Roman" w:cs="Times New Roman"/>
          <w:color w:val="2D2D2D"/>
        </w:rPr>
        <w:t xml:space="preserve"> -- Bank of the James Financial Group, Inc. (the “Company”) (NASDAQ:BOTJ), the parent company of Bank of the James, a full-service commercial and retail bank serving the greater Lynchburg area (Region 2000), and the Charlottesville, Harrisonburg, and Roanoke, Virginia markets, today announced unaudited results for the three months </w:t>
      </w:r>
      <w:r>
        <w:rPr>
          <w:rFonts w:ascii="Times New Roman" w:eastAsia="Times New Roman" w:hAnsi="Times New Roman" w:cs="Times New Roman"/>
          <w:color w:val="2D2D2D"/>
        </w:rPr>
        <w:t xml:space="preserve">and six months </w:t>
      </w:r>
      <w:r w:rsidRPr="00A90BDB">
        <w:rPr>
          <w:rFonts w:ascii="Times New Roman" w:eastAsia="Times New Roman" w:hAnsi="Times New Roman" w:cs="Times New Roman"/>
          <w:color w:val="2D2D2D"/>
        </w:rPr>
        <w:t xml:space="preserve">ended </w:t>
      </w:r>
      <w:r>
        <w:rPr>
          <w:rFonts w:ascii="Times New Roman" w:eastAsia="Times New Roman" w:hAnsi="Times New Roman" w:cs="Times New Roman"/>
          <w:color w:val="2D2D2D"/>
        </w:rPr>
        <w:t>June 30, 2018.</w:t>
      </w:r>
    </w:p>
    <w:p w:rsidR="00BE5201" w:rsidRPr="00E9588E" w:rsidRDefault="00BE5201" w:rsidP="00BE5201">
      <w:pPr>
        <w:pStyle w:val="release"/>
        <w:spacing w:line="240" w:lineRule="auto"/>
        <w:jc w:val="both"/>
        <w:rPr>
          <w:rFonts w:ascii="Times New Roman" w:hAnsi="Times New Roman"/>
          <w:szCs w:val="22"/>
        </w:rPr>
      </w:pPr>
      <w:r w:rsidRPr="00A90BDB">
        <w:rPr>
          <w:rFonts w:ascii="Times New Roman" w:eastAsia="Times New Roman" w:hAnsi="Times New Roman"/>
          <w:color w:val="2D2D2D"/>
        </w:rPr>
        <w:t xml:space="preserve">Net income for the three months ended </w:t>
      </w:r>
      <w:r>
        <w:rPr>
          <w:rFonts w:ascii="Times New Roman" w:eastAsia="Times New Roman" w:hAnsi="Times New Roman"/>
          <w:color w:val="2D2D2D"/>
        </w:rPr>
        <w:t xml:space="preserve">June 30, 2018 </w:t>
      </w:r>
      <w:r w:rsidRPr="00A90BDB">
        <w:rPr>
          <w:rFonts w:ascii="Times New Roman" w:eastAsia="Times New Roman" w:hAnsi="Times New Roman"/>
          <w:color w:val="2D2D2D"/>
        </w:rPr>
        <w:t xml:space="preserve">was </w:t>
      </w:r>
      <w:r>
        <w:rPr>
          <w:rFonts w:ascii="Times New Roman" w:eastAsia="Times New Roman" w:hAnsi="Times New Roman"/>
          <w:color w:val="2D2D2D"/>
        </w:rPr>
        <w:t>$1.30 million or $0.30 per diluted share, up 65% compared with $787,000 or $0.18 per diluted share for the three months ended June 30, 2017. For the six months ended June 30, 2018, net income rose 57% to $2.42 million or $0.55 per diluted share, compared with $1.55 million or $0.35 per diluted share for the six months ended June 30, 2017.</w:t>
      </w:r>
    </w:p>
    <w:p w:rsidR="00BE5201" w:rsidRPr="00A90BDB" w:rsidRDefault="00BE5201" w:rsidP="00BE5201">
      <w:pPr>
        <w:spacing w:after="125" w:line="240" w:lineRule="auto"/>
        <w:rPr>
          <w:rFonts w:ascii="Times New Roman" w:eastAsia="Times New Roman" w:hAnsi="Times New Roman" w:cs="Times New Roman"/>
          <w:color w:val="2D2D2D"/>
        </w:rPr>
      </w:pPr>
      <w:r w:rsidRPr="00A90BDB">
        <w:rPr>
          <w:rFonts w:ascii="Times New Roman" w:eastAsia="Times New Roman" w:hAnsi="Times New Roman" w:cs="Times New Roman"/>
          <w:b/>
          <w:bCs/>
          <w:color w:val="2D2D2D"/>
        </w:rPr>
        <w:t>Highlights</w:t>
      </w:r>
    </w:p>
    <w:p w:rsidR="00BE5201" w:rsidRDefault="00BE5201" w:rsidP="00BE5201">
      <w:pPr>
        <w:pStyle w:val="ListParagraph"/>
        <w:numPr>
          <w:ilvl w:val="0"/>
          <w:numId w:val="1"/>
        </w:numPr>
        <w:spacing w:after="0" w:line="240" w:lineRule="auto"/>
        <w:rPr>
          <w:rFonts w:ascii="Times New Roman" w:eastAsia="Times New Roman" w:hAnsi="Times New Roman" w:cs="Times New Roman"/>
          <w:color w:val="2D2D2D"/>
        </w:rPr>
      </w:pPr>
      <w:r>
        <w:rPr>
          <w:rFonts w:ascii="Times New Roman" w:eastAsia="Times New Roman" w:hAnsi="Times New Roman" w:cs="Times New Roman"/>
          <w:color w:val="2D2D2D"/>
        </w:rPr>
        <w:t>C</w:t>
      </w:r>
      <w:r w:rsidRPr="00775239">
        <w:rPr>
          <w:rFonts w:ascii="Times New Roman" w:eastAsia="Times New Roman" w:hAnsi="Times New Roman" w:cs="Times New Roman"/>
          <w:color w:val="2D2D2D"/>
        </w:rPr>
        <w:t>ommercial &amp; industrial (C&amp;I) lending and commercial real estate (CRE) lending were the major contributors to 1</w:t>
      </w:r>
      <w:r>
        <w:rPr>
          <w:rFonts w:ascii="Times New Roman" w:eastAsia="Times New Roman" w:hAnsi="Times New Roman" w:cs="Times New Roman"/>
          <w:color w:val="2D2D2D"/>
        </w:rPr>
        <w:t>5</w:t>
      </w:r>
      <w:r w:rsidRPr="00775239">
        <w:rPr>
          <w:rFonts w:ascii="Times New Roman" w:eastAsia="Times New Roman" w:hAnsi="Times New Roman" w:cs="Times New Roman"/>
          <w:color w:val="2D2D2D"/>
        </w:rPr>
        <w:t xml:space="preserve">% growth of interest income from earning assets in the </w:t>
      </w:r>
      <w:r>
        <w:rPr>
          <w:rFonts w:ascii="Times New Roman" w:eastAsia="Times New Roman" w:hAnsi="Times New Roman" w:cs="Times New Roman"/>
          <w:color w:val="2D2D2D"/>
        </w:rPr>
        <w:t xml:space="preserve">second </w:t>
      </w:r>
      <w:r w:rsidRPr="00775239">
        <w:rPr>
          <w:rFonts w:ascii="Times New Roman" w:eastAsia="Times New Roman" w:hAnsi="Times New Roman" w:cs="Times New Roman"/>
          <w:color w:val="2D2D2D"/>
        </w:rPr>
        <w:t xml:space="preserve">quarter of 2018 compared with the </w:t>
      </w:r>
      <w:r>
        <w:rPr>
          <w:rFonts w:ascii="Times New Roman" w:eastAsia="Times New Roman" w:hAnsi="Times New Roman" w:cs="Times New Roman"/>
          <w:color w:val="2D2D2D"/>
        </w:rPr>
        <w:t xml:space="preserve">second </w:t>
      </w:r>
      <w:r w:rsidRPr="00775239">
        <w:rPr>
          <w:rFonts w:ascii="Times New Roman" w:eastAsia="Times New Roman" w:hAnsi="Times New Roman" w:cs="Times New Roman"/>
          <w:color w:val="2D2D2D"/>
        </w:rPr>
        <w:t>quarter of 2017.</w:t>
      </w:r>
    </w:p>
    <w:p w:rsidR="00BE5201" w:rsidRPr="00775239" w:rsidRDefault="00BE5201" w:rsidP="00BE5201">
      <w:pPr>
        <w:pStyle w:val="ListParagraph"/>
        <w:numPr>
          <w:ilvl w:val="0"/>
          <w:numId w:val="1"/>
        </w:numPr>
        <w:spacing w:after="0" w:line="240" w:lineRule="auto"/>
        <w:rPr>
          <w:rFonts w:ascii="Times New Roman" w:eastAsia="Times New Roman" w:hAnsi="Times New Roman" w:cs="Times New Roman"/>
          <w:color w:val="2D2D2D"/>
        </w:rPr>
      </w:pPr>
      <w:r w:rsidRPr="00775239">
        <w:rPr>
          <w:rFonts w:ascii="Times New Roman" w:eastAsia="Times New Roman" w:hAnsi="Times New Roman" w:cs="Times New Roman"/>
          <w:color w:val="2D2D2D"/>
        </w:rPr>
        <w:t xml:space="preserve">Net interest income before </w:t>
      </w:r>
      <w:r>
        <w:rPr>
          <w:rFonts w:ascii="Times New Roman" w:eastAsia="Times New Roman" w:hAnsi="Times New Roman" w:cs="Times New Roman"/>
          <w:color w:val="2D2D2D"/>
        </w:rPr>
        <w:t xml:space="preserve">the </w:t>
      </w:r>
      <w:r w:rsidRPr="00775239">
        <w:rPr>
          <w:rFonts w:ascii="Times New Roman" w:eastAsia="Times New Roman" w:hAnsi="Times New Roman" w:cs="Times New Roman"/>
          <w:color w:val="2D2D2D"/>
        </w:rPr>
        <w:t xml:space="preserve">provision for loan losses </w:t>
      </w:r>
      <w:r>
        <w:rPr>
          <w:rFonts w:ascii="Times New Roman" w:eastAsia="Times New Roman" w:hAnsi="Times New Roman" w:cs="Times New Roman"/>
          <w:color w:val="2D2D2D"/>
        </w:rPr>
        <w:t>was $5.80 million in the second quarter of 2018, up</w:t>
      </w:r>
      <w:r w:rsidRPr="00775239">
        <w:rPr>
          <w:rFonts w:ascii="Times New Roman" w:eastAsia="Times New Roman" w:hAnsi="Times New Roman" w:cs="Times New Roman"/>
          <w:color w:val="2D2D2D"/>
        </w:rPr>
        <w:t xml:space="preserve"> 1</w:t>
      </w:r>
      <w:r>
        <w:rPr>
          <w:rFonts w:ascii="Times New Roman" w:eastAsia="Times New Roman" w:hAnsi="Times New Roman" w:cs="Times New Roman"/>
          <w:color w:val="2D2D2D"/>
        </w:rPr>
        <w:t>3</w:t>
      </w:r>
      <w:r w:rsidRPr="00775239">
        <w:rPr>
          <w:rFonts w:ascii="Times New Roman" w:eastAsia="Times New Roman" w:hAnsi="Times New Roman" w:cs="Times New Roman"/>
          <w:color w:val="2D2D2D"/>
        </w:rPr>
        <w:t xml:space="preserve">% </w:t>
      </w:r>
      <w:r>
        <w:rPr>
          <w:rFonts w:ascii="Times New Roman" w:eastAsia="Times New Roman" w:hAnsi="Times New Roman" w:cs="Times New Roman"/>
          <w:color w:val="2D2D2D"/>
        </w:rPr>
        <w:t>from the second quarter of 2017, led primarily by growth in commercial lending.</w:t>
      </w:r>
    </w:p>
    <w:p w:rsidR="00BE5201" w:rsidRPr="004424BD" w:rsidRDefault="00BE5201" w:rsidP="00BE5201">
      <w:pPr>
        <w:pStyle w:val="ListParagraph"/>
        <w:numPr>
          <w:ilvl w:val="0"/>
          <w:numId w:val="1"/>
        </w:numPr>
        <w:spacing w:after="0" w:line="240" w:lineRule="auto"/>
        <w:rPr>
          <w:rFonts w:ascii="Times New Roman" w:eastAsia="Times New Roman" w:hAnsi="Times New Roman" w:cs="Times New Roman"/>
          <w:color w:val="2D2D2D"/>
        </w:rPr>
      </w:pPr>
      <w:r w:rsidRPr="0093095C">
        <w:rPr>
          <w:rFonts w:ascii="Times New Roman" w:eastAsia="Times New Roman" w:hAnsi="Times New Roman" w:cs="Times New Roman"/>
          <w:color w:val="2D2D2D"/>
        </w:rPr>
        <w:t xml:space="preserve">Total noninterest income, primarily reflecting increased fee income from treasury services, </w:t>
      </w:r>
      <w:r>
        <w:rPr>
          <w:rFonts w:ascii="Times New Roman" w:eastAsia="Times New Roman" w:hAnsi="Times New Roman" w:cs="Times New Roman"/>
          <w:color w:val="2D2D2D"/>
        </w:rPr>
        <w:t xml:space="preserve">income </w:t>
      </w:r>
      <w:r w:rsidRPr="0093095C">
        <w:rPr>
          <w:rFonts w:ascii="Times New Roman" w:eastAsia="Times New Roman" w:hAnsi="Times New Roman" w:cs="Times New Roman"/>
          <w:color w:val="2D2D2D"/>
        </w:rPr>
        <w:t>from the Compa</w:t>
      </w:r>
      <w:r>
        <w:rPr>
          <w:rFonts w:ascii="Times New Roman" w:eastAsia="Times New Roman" w:hAnsi="Times New Roman" w:cs="Times New Roman"/>
          <w:color w:val="2D2D2D"/>
        </w:rPr>
        <w:t>n</w:t>
      </w:r>
      <w:r w:rsidRPr="0093095C">
        <w:rPr>
          <w:rFonts w:ascii="Times New Roman" w:eastAsia="Times New Roman" w:hAnsi="Times New Roman" w:cs="Times New Roman"/>
          <w:color w:val="2D2D2D"/>
        </w:rPr>
        <w:t xml:space="preserve">y’s insurance and investments business, and growth in gains on sale of residential mortgage loans, rose </w:t>
      </w:r>
      <w:r>
        <w:rPr>
          <w:rFonts w:ascii="Times New Roman" w:eastAsia="Times New Roman" w:hAnsi="Times New Roman" w:cs="Times New Roman"/>
          <w:color w:val="2D2D2D"/>
        </w:rPr>
        <w:t xml:space="preserve">20% </w:t>
      </w:r>
      <w:r w:rsidRPr="0093095C">
        <w:rPr>
          <w:rFonts w:ascii="Times New Roman" w:eastAsia="Times New Roman" w:hAnsi="Times New Roman" w:cs="Times New Roman"/>
          <w:color w:val="2D2D2D"/>
        </w:rPr>
        <w:t xml:space="preserve">in the </w:t>
      </w:r>
      <w:r>
        <w:rPr>
          <w:rFonts w:ascii="Times New Roman" w:eastAsia="Times New Roman" w:hAnsi="Times New Roman" w:cs="Times New Roman"/>
          <w:color w:val="2D2D2D"/>
        </w:rPr>
        <w:t xml:space="preserve">second </w:t>
      </w:r>
      <w:r w:rsidRPr="0093095C">
        <w:rPr>
          <w:rFonts w:ascii="Times New Roman" w:eastAsia="Times New Roman" w:hAnsi="Times New Roman" w:cs="Times New Roman"/>
          <w:color w:val="2D2D2D"/>
        </w:rPr>
        <w:t xml:space="preserve">quarter of 2018 compared with the </w:t>
      </w:r>
      <w:r>
        <w:rPr>
          <w:rFonts w:ascii="Times New Roman" w:eastAsia="Times New Roman" w:hAnsi="Times New Roman" w:cs="Times New Roman"/>
          <w:color w:val="2D2D2D"/>
        </w:rPr>
        <w:t xml:space="preserve">second </w:t>
      </w:r>
      <w:r w:rsidRPr="0093095C">
        <w:rPr>
          <w:rFonts w:ascii="Times New Roman" w:eastAsia="Times New Roman" w:hAnsi="Times New Roman" w:cs="Times New Roman"/>
          <w:color w:val="2D2D2D"/>
        </w:rPr>
        <w:t>quarter of 2017</w:t>
      </w:r>
      <w:r>
        <w:rPr>
          <w:rFonts w:ascii="Times New Roman" w:eastAsia="Times New Roman" w:hAnsi="Times New Roman" w:cs="Times New Roman"/>
          <w:color w:val="2D2D2D"/>
        </w:rPr>
        <w:t>. In the first half of 2018, total noninterest income was up 27% as compared to the first half of 2017.</w:t>
      </w:r>
    </w:p>
    <w:p w:rsidR="00BE5201" w:rsidRPr="00A90BDB" w:rsidRDefault="00BE5201" w:rsidP="00BE5201">
      <w:pPr>
        <w:pStyle w:val="ListParagraph"/>
        <w:numPr>
          <w:ilvl w:val="0"/>
          <w:numId w:val="1"/>
        </w:numPr>
        <w:spacing w:after="0" w:line="240" w:lineRule="auto"/>
        <w:rPr>
          <w:rFonts w:ascii="Times New Roman" w:eastAsia="Times New Roman" w:hAnsi="Times New Roman" w:cs="Times New Roman"/>
          <w:color w:val="2D2D2D"/>
        </w:rPr>
      </w:pPr>
      <w:r>
        <w:rPr>
          <w:rFonts w:ascii="Times New Roman" w:eastAsia="Times New Roman" w:hAnsi="Times New Roman" w:cs="Times New Roman"/>
          <w:color w:val="2D2D2D"/>
        </w:rPr>
        <w:t>Deposits were $596.07 million, a company record, led by core deposit growth (noninterest-bearing demand, NOW, savings and money market accounts).</w:t>
      </w:r>
    </w:p>
    <w:p w:rsidR="00BE5201" w:rsidRPr="00A90BDB" w:rsidRDefault="00BE5201" w:rsidP="00BE5201">
      <w:pPr>
        <w:pStyle w:val="ListParagraph"/>
        <w:numPr>
          <w:ilvl w:val="0"/>
          <w:numId w:val="1"/>
        </w:numPr>
        <w:spacing w:after="0" w:line="240" w:lineRule="auto"/>
        <w:rPr>
          <w:rFonts w:ascii="Times New Roman" w:eastAsia="Times New Roman" w:hAnsi="Times New Roman" w:cs="Times New Roman"/>
          <w:color w:val="2D2D2D"/>
        </w:rPr>
      </w:pPr>
      <w:r w:rsidRPr="000F59C7">
        <w:rPr>
          <w:rFonts w:ascii="Times New Roman" w:eastAsia="Times New Roman" w:hAnsi="Times New Roman" w:cs="Times New Roman"/>
          <w:color w:val="2D2D2D"/>
        </w:rPr>
        <w:t>Total assets</w:t>
      </w:r>
      <w:r>
        <w:rPr>
          <w:rFonts w:ascii="Times New Roman" w:eastAsia="Times New Roman" w:hAnsi="Times New Roman" w:cs="Times New Roman"/>
          <w:color w:val="2D2D2D"/>
        </w:rPr>
        <w:t xml:space="preserve">, driven primarily by a 7% year-over-year growth in net loans and loans held for sale, increased to a </w:t>
      </w:r>
      <w:r w:rsidRPr="000F59C7">
        <w:rPr>
          <w:rFonts w:ascii="Times New Roman" w:eastAsia="Times New Roman" w:hAnsi="Times New Roman" w:cs="Times New Roman"/>
          <w:color w:val="2D2D2D"/>
        </w:rPr>
        <w:t>Company-record $6</w:t>
      </w:r>
      <w:r>
        <w:rPr>
          <w:rFonts w:ascii="Times New Roman" w:eastAsia="Times New Roman" w:hAnsi="Times New Roman" w:cs="Times New Roman"/>
          <w:color w:val="2D2D2D"/>
        </w:rPr>
        <w:t>55.87</w:t>
      </w:r>
      <w:r w:rsidRPr="000F59C7">
        <w:rPr>
          <w:rFonts w:ascii="Times New Roman" w:eastAsia="Times New Roman" w:hAnsi="Times New Roman" w:cs="Times New Roman"/>
          <w:color w:val="2D2D2D"/>
        </w:rPr>
        <w:t xml:space="preserve"> million at </w:t>
      </w:r>
      <w:r>
        <w:rPr>
          <w:rFonts w:ascii="Times New Roman" w:eastAsia="Times New Roman" w:hAnsi="Times New Roman" w:cs="Times New Roman"/>
          <w:color w:val="2D2D2D"/>
        </w:rPr>
        <w:t xml:space="preserve">June 30, 2018. </w:t>
      </w:r>
      <w:r w:rsidRPr="000F59C7">
        <w:rPr>
          <w:rFonts w:ascii="Times New Roman" w:eastAsia="Times New Roman" w:hAnsi="Times New Roman" w:cs="Times New Roman"/>
          <w:color w:val="2D2D2D"/>
        </w:rPr>
        <w:t>Asset quality ratios remained strong, reflecting loan portfolio strength.</w:t>
      </w:r>
    </w:p>
    <w:p w:rsidR="00BE5201" w:rsidRPr="00BE4F06" w:rsidRDefault="00BE5201" w:rsidP="00BE5201">
      <w:pPr>
        <w:pStyle w:val="ListParagraph"/>
        <w:numPr>
          <w:ilvl w:val="0"/>
          <w:numId w:val="1"/>
        </w:numPr>
        <w:spacing w:after="0" w:line="240" w:lineRule="auto"/>
        <w:rPr>
          <w:rFonts w:ascii="Times New Roman" w:eastAsia="Times New Roman" w:hAnsi="Times New Roman" w:cs="Times New Roman"/>
          <w:color w:val="2D2D2D"/>
        </w:rPr>
      </w:pPr>
      <w:r>
        <w:rPr>
          <w:rFonts w:ascii="Times New Roman" w:eastAsia="Times New Roman" w:hAnsi="Times New Roman" w:cs="Times New Roman"/>
          <w:color w:val="2D2D2D"/>
        </w:rPr>
        <w:t xml:space="preserve">Measures of productivity trended positively, as </w:t>
      </w:r>
      <w:r w:rsidRPr="00BE4F06">
        <w:rPr>
          <w:rFonts w:ascii="Times New Roman" w:eastAsia="Times New Roman" w:hAnsi="Times New Roman" w:cs="Times New Roman"/>
          <w:color w:val="2D2D2D"/>
        </w:rPr>
        <w:t xml:space="preserve">Return on Average Assets (ROAA) </w:t>
      </w:r>
      <w:r>
        <w:rPr>
          <w:rFonts w:ascii="Times New Roman" w:eastAsia="Times New Roman" w:hAnsi="Times New Roman" w:cs="Times New Roman"/>
          <w:color w:val="2D2D2D"/>
        </w:rPr>
        <w:t>was 0.79% for the quarter ended</w:t>
      </w:r>
      <w:r w:rsidRPr="00BE4F06">
        <w:rPr>
          <w:rFonts w:ascii="Times New Roman" w:eastAsia="Times New Roman" w:hAnsi="Times New Roman" w:cs="Times New Roman"/>
          <w:color w:val="2D2D2D"/>
        </w:rPr>
        <w:t xml:space="preserve"> </w:t>
      </w:r>
      <w:r>
        <w:rPr>
          <w:rFonts w:ascii="Times New Roman" w:eastAsia="Times New Roman" w:hAnsi="Times New Roman" w:cs="Times New Roman"/>
          <w:color w:val="2D2D2D"/>
        </w:rPr>
        <w:t xml:space="preserve">June 30, </w:t>
      </w:r>
      <w:r w:rsidRPr="00BE4F06">
        <w:rPr>
          <w:rFonts w:ascii="Times New Roman" w:eastAsia="Times New Roman" w:hAnsi="Times New Roman" w:cs="Times New Roman"/>
          <w:color w:val="2D2D2D"/>
        </w:rPr>
        <w:t>2018</w:t>
      </w:r>
      <w:r>
        <w:rPr>
          <w:rFonts w:ascii="Times New Roman" w:eastAsia="Times New Roman" w:hAnsi="Times New Roman" w:cs="Times New Roman"/>
          <w:color w:val="2D2D2D"/>
        </w:rPr>
        <w:t xml:space="preserve"> as compared to 0.54% for the quarter ended</w:t>
      </w:r>
      <w:r w:rsidRPr="00BE4F06">
        <w:rPr>
          <w:rFonts w:ascii="Times New Roman" w:eastAsia="Times New Roman" w:hAnsi="Times New Roman" w:cs="Times New Roman"/>
          <w:color w:val="2D2D2D"/>
        </w:rPr>
        <w:t xml:space="preserve"> </w:t>
      </w:r>
      <w:r>
        <w:rPr>
          <w:rFonts w:ascii="Times New Roman" w:eastAsia="Times New Roman" w:hAnsi="Times New Roman" w:cs="Times New Roman"/>
          <w:color w:val="2D2D2D"/>
        </w:rPr>
        <w:t>June 30</w:t>
      </w:r>
      <w:r w:rsidRPr="00BE4F06">
        <w:rPr>
          <w:rFonts w:ascii="Times New Roman" w:eastAsia="Times New Roman" w:hAnsi="Times New Roman" w:cs="Times New Roman"/>
          <w:color w:val="2D2D2D"/>
        </w:rPr>
        <w:t xml:space="preserve">, 2017, </w:t>
      </w:r>
      <w:r>
        <w:rPr>
          <w:rFonts w:ascii="Times New Roman" w:eastAsia="Times New Roman" w:hAnsi="Times New Roman" w:cs="Times New Roman"/>
          <w:color w:val="2D2D2D"/>
        </w:rPr>
        <w:t>and</w:t>
      </w:r>
      <w:r w:rsidRPr="00BE4F06">
        <w:rPr>
          <w:rFonts w:ascii="Times New Roman" w:eastAsia="Times New Roman" w:hAnsi="Times New Roman" w:cs="Times New Roman"/>
          <w:color w:val="2D2D2D"/>
        </w:rPr>
        <w:t xml:space="preserve"> Return on Average Equity (ROAE) </w:t>
      </w:r>
      <w:r>
        <w:rPr>
          <w:rFonts w:ascii="Times New Roman" w:eastAsia="Times New Roman" w:hAnsi="Times New Roman" w:cs="Times New Roman"/>
          <w:color w:val="2D2D2D"/>
        </w:rPr>
        <w:t xml:space="preserve">increased </w:t>
      </w:r>
      <w:r w:rsidRPr="00BE4F06">
        <w:rPr>
          <w:rFonts w:ascii="Times New Roman" w:eastAsia="Times New Roman" w:hAnsi="Times New Roman" w:cs="Times New Roman"/>
          <w:color w:val="2D2D2D"/>
        </w:rPr>
        <w:t xml:space="preserve">to </w:t>
      </w:r>
      <w:r>
        <w:rPr>
          <w:rFonts w:ascii="Times New Roman" w:eastAsia="Times New Roman" w:hAnsi="Times New Roman" w:cs="Times New Roman"/>
          <w:color w:val="2D2D2D"/>
        </w:rPr>
        <w:t>9.67% for the quarter ended June 30, 2018 from 6.13</w:t>
      </w:r>
      <w:r w:rsidRPr="00BE4F06">
        <w:rPr>
          <w:rFonts w:ascii="Times New Roman" w:eastAsia="Times New Roman" w:hAnsi="Times New Roman" w:cs="Times New Roman"/>
          <w:color w:val="2D2D2D"/>
        </w:rPr>
        <w:t>% a year earlier.</w:t>
      </w:r>
      <w:r>
        <w:rPr>
          <w:rFonts w:ascii="Times New Roman" w:eastAsia="Times New Roman" w:hAnsi="Times New Roman" w:cs="Times New Roman"/>
          <w:color w:val="2D2D2D"/>
        </w:rPr>
        <w:t xml:space="preserve"> The Company’s efficiency ratio was 73.3% in the second quarter of 2018, improving from 75.6% a year earlier.</w:t>
      </w:r>
    </w:p>
    <w:p w:rsidR="00BE5201" w:rsidRDefault="00BE5201" w:rsidP="00BE5201">
      <w:pPr>
        <w:pStyle w:val="ListParagraph"/>
        <w:numPr>
          <w:ilvl w:val="0"/>
          <w:numId w:val="1"/>
        </w:numPr>
        <w:spacing w:after="0" w:line="240" w:lineRule="auto"/>
        <w:rPr>
          <w:rFonts w:ascii="Times New Roman" w:eastAsia="Times New Roman" w:hAnsi="Times New Roman" w:cs="Times New Roman"/>
          <w:color w:val="2D2D2D"/>
        </w:rPr>
      </w:pPr>
      <w:r>
        <w:rPr>
          <w:rFonts w:ascii="Times New Roman" w:eastAsia="Times New Roman" w:hAnsi="Times New Roman" w:cs="Times New Roman"/>
          <w:color w:val="2D2D2D"/>
        </w:rPr>
        <w:t xml:space="preserve">Total stockholders’ equity increased to $52.52 million at June 30, 2018 from $51.67 million December 31, 2017, and retained earnings increased to $14.17 million from $12.27 million at year-end 2017. </w:t>
      </w:r>
      <w:r w:rsidRPr="00BE4F06">
        <w:rPr>
          <w:rFonts w:ascii="Times New Roman" w:eastAsia="Times New Roman" w:hAnsi="Times New Roman" w:cs="Times New Roman"/>
          <w:color w:val="2D2D2D"/>
        </w:rPr>
        <w:t xml:space="preserve">Based on the results achieved in the first quarter, on </w:t>
      </w:r>
      <w:r>
        <w:rPr>
          <w:rFonts w:ascii="Times New Roman" w:eastAsia="Times New Roman" w:hAnsi="Times New Roman" w:cs="Times New Roman"/>
          <w:color w:val="2D2D2D"/>
        </w:rPr>
        <w:t>July 17</w:t>
      </w:r>
      <w:r w:rsidRPr="00BE4F06">
        <w:rPr>
          <w:rFonts w:ascii="Times New Roman" w:eastAsia="Times New Roman" w:hAnsi="Times New Roman" w:cs="Times New Roman"/>
          <w:color w:val="2D2D2D"/>
        </w:rPr>
        <w:t xml:space="preserve">, 2018 the Company’s board of directors approved a $0.06 per share dividend payable to stockholders of record on </w:t>
      </w:r>
      <w:r>
        <w:rPr>
          <w:rFonts w:ascii="Times New Roman" w:eastAsia="Times New Roman" w:hAnsi="Times New Roman" w:cs="Times New Roman"/>
          <w:color w:val="2D2D2D"/>
        </w:rPr>
        <w:t>September 7</w:t>
      </w:r>
      <w:r w:rsidRPr="00BE4F06">
        <w:rPr>
          <w:rFonts w:ascii="Times New Roman" w:eastAsia="Times New Roman" w:hAnsi="Times New Roman" w:cs="Times New Roman"/>
          <w:color w:val="2D2D2D"/>
        </w:rPr>
        <w:t xml:space="preserve">, 2018, to be paid on </w:t>
      </w:r>
      <w:r>
        <w:rPr>
          <w:rFonts w:ascii="Times New Roman" w:eastAsia="Times New Roman" w:hAnsi="Times New Roman" w:cs="Times New Roman"/>
          <w:color w:val="2D2D2D"/>
        </w:rPr>
        <w:t>September 21</w:t>
      </w:r>
      <w:r w:rsidRPr="00BE4F06">
        <w:rPr>
          <w:rFonts w:ascii="Times New Roman" w:eastAsia="Times New Roman" w:hAnsi="Times New Roman" w:cs="Times New Roman"/>
          <w:color w:val="2D2D2D"/>
        </w:rPr>
        <w:t>, 2018.</w:t>
      </w:r>
    </w:p>
    <w:p w:rsidR="00BE5201" w:rsidRDefault="00BE5201" w:rsidP="00BE5201">
      <w:pPr>
        <w:spacing w:before="240" w:after="125" w:line="240" w:lineRule="auto"/>
        <w:rPr>
          <w:rFonts w:ascii="Times New Roman" w:eastAsia="Times New Roman" w:hAnsi="Times New Roman" w:cs="Times New Roman"/>
          <w:color w:val="2D2D2D"/>
        </w:rPr>
      </w:pPr>
      <w:r w:rsidRPr="00711645">
        <w:rPr>
          <w:rFonts w:ascii="Times New Roman" w:eastAsia="Times New Roman" w:hAnsi="Times New Roman" w:cs="Times New Roman"/>
          <w:color w:val="2D2D2D"/>
        </w:rPr>
        <w:lastRenderedPageBreak/>
        <w:t>Robert R. Chapman III, President and CEO, commented: “</w:t>
      </w:r>
      <w:r>
        <w:rPr>
          <w:rFonts w:ascii="Times New Roman" w:eastAsia="Times New Roman" w:hAnsi="Times New Roman" w:cs="Times New Roman"/>
          <w:color w:val="2D2D2D"/>
        </w:rPr>
        <w:t>Our financial results, including one of the best quarters for earnings in the Company’s history, reflected the continued revenue contributions throughout the Company. Continuing gains in productivity and efficiency, as seen in higher year-over-year ROAA and ROAE and an improved efficiency ratio, are supporting our goal of generating an accelerating and predictable earnings flow. Managing interest expense while growing our deposit base, and maintaining solid loan quality have also supported earnings growth.</w:t>
      </w:r>
    </w:p>
    <w:p w:rsidR="00BE5201" w:rsidRDefault="00BE5201" w:rsidP="00BE5201">
      <w:pPr>
        <w:spacing w:before="240" w:after="125" w:line="240" w:lineRule="auto"/>
        <w:rPr>
          <w:rFonts w:ascii="Times New Roman" w:eastAsia="Times New Roman" w:hAnsi="Times New Roman" w:cs="Times New Roman"/>
          <w:color w:val="2D2D2D"/>
        </w:rPr>
      </w:pPr>
      <w:r>
        <w:rPr>
          <w:rFonts w:ascii="Times New Roman" w:eastAsia="Times New Roman" w:hAnsi="Times New Roman" w:cs="Times New Roman"/>
          <w:color w:val="2D2D2D"/>
        </w:rPr>
        <w:t>“Commercial lending and banking continued the positive performance of the past several quarters, and our BOTJ Investment Services team and Mortgage Lending group both had record quarters for production. Our expanded team of mortgage lenders, and continuing success in growing our reputation throughout our served markets as a mortgage origination leader led to this positive performance. Contributions from BOTJ Investment Services, gains on sale of originated mortgages, and revenue from commercial treasury services have supported growth of noninterest income.”</w:t>
      </w:r>
    </w:p>
    <w:p w:rsidR="00BE5201" w:rsidRPr="00A90BDB" w:rsidRDefault="00BE5201" w:rsidP="00BE5201">
      <w:pPr>
        <w:spacing w:after="125" w:line="240" w:lineRule="auto"/>
        <w:rPr>
          <w:rFonts w:ascii="Times New Roman" w:eastAsia="Times New Roman" w:hAnsi="Times New Roman" w:cs="Times New Roman"/>
          <w:color w:val="2D2D2D"/>
        </w:rPr>
      </w:pPr>
      <w:r>
        <w:rPr>
          <w:rFonts w:ascii="Times New Roman" w:eastAsia="Times New Roman" w:hAnsi="Times New Roman" w:cs="Times New Roman"/>
          <w:b/>
          <w:bCs/>
          <w:color w:val="2D2D2D"/>
        </w:rPr>
        <w:t xml:space="preserve">Second </w:t>
      </w:r>
      <w:r w:rsidRPr="00711645">
        <w:rPr>
          <w:rFonts w:ascii="Times New Roman" w:eastAsia="Times New Roman" w:hAnsi="Times New Roman" w:cs="Times New Roman"/>
          <w:b/>
          <w:bCs/>
          <w:color w:val="2D2D2D"/>
        </w:rPr>
        <w:t>Quarter</w:t>
      </w:r>
      <w:r>
        <w:rPr>
          <w:rFonts w:ascii="Times New Roman" w:eastAsia="Times New Roman" w:hAnsi="Times New Roman" w:cs="Times New Roman"/>
          <w:b/>
          <w:bCs/>
          <w:color w:val="2D2D2D"/>
        </w:rPr>
        <w:t xml:space="preserve">, First Half </w:t>
      </w:r>
      <w:r w:rsidRPr="00711645">
        <w:rPr>
          <w:rFonts w:ascii="Times New Roman" w:eastAsia="Times New Roman" w:hAnsi="Times New Roman" w:cs="Times New Roman"/>
          <w:b/>
          <w:bCs/>
          <w:color w:val="2D2D2D"/>
        </w:rPr>
        <w:t>201</w:t>
      </w:r>
      <w:r>
        <w:rPr>
          <w:rFonts w:ascii="Times New Roman" w:eastAsia="Times New Roman" w:hAnsi="Times New Roman" w:cs="Times New Roman"/>
          <w:b/>
          <w:bCs/>
          <w:color w:val="2D2D2D"/>
        </w:rPr>
        <w:t>8</w:t>
      </w:r>
      <w:r w:rsidRPr="00711645">
        <w:rPr>
          <w:rFonts w:ascii="Times New Roman" w:eastAsia="Times New Roman" w:hAnsi="Times New Roman" w:cs="Times New Roman"/>
          <w:b/>
          <w:bCs/>
          <w:color w:val="2D2D2D"/>
        </w:rPr>
        <w:t xml:space="preserve"> Operational Review</w:t>
      </w:r>
    </w:p>
    <w:p w:rsidR="00BE5201" w:rsidRDefault="00BE5201" w:rsidP="00BE5201">
      <w:pPr>
        <w:spacing w:after="125" w:line="240" w:lineRule="auto"/>
        <w:rPr>
          <w:rFonts w:ascii="Times New Roman" w:eastAsia="Times New Roman" w:hAnsi="Times New Roman" w:cs="Times New Roman"/>
          <w:color w:val="2D2D2D"/>
        </w:rPr>
      </w:pPr>
      <w:r w:rsidRPr="00A90BDB">
        <w:rPr>
          <w:rFonts w:ascii="Times New Roman" w:eastAsia="Times New Roman" w:hAnsi="Times New Roman" w:cs="Times New Roman"/>
          <w:color w:val="2D2D2D"/>
        </w:rPr>
        <w:t xml:space="preserve">Total interest income was </w:t>
      </w:r>
      <w:r>
        <w:rPr>
          <w:rFonts w:ascii="Times New Roman" w:eastAsia="Times New Roman" w:hAnsi="Times New Roman" w:cs="Times New Roman"/>
          <w:color w:val="2D2D2D"/>
        </w:rPr>
        <w:t>$6.73 million in the second quarter of 2018, up 15% from $5.85 million a year earlier. The primary driver of interest income growth continued to be loans. Although interest expense rose year-over-year with an increase in deposits and market driven rate increases, net interest income was up 13% to $5.80 million for the quarter ended June 30, 2018 compared with a year earlier. First half 2018 net interest income increased 12% compared with a year earlier.</w:t>
      </w:r>
    </w:p>
    <w:p w:rsidR="00BE5201" w:rsidRDefault="00BE5201" w:rsidP="00BE5201">
      <w:pPr>
        <w:spacing w:after="125" w:line="240" w:lineRule="auto"/>
        <w:rPr>
          <w:rFonts w:ascii="Times New Roman" w:eastAsia="Times New Roman" w:hAnsi="Times New Roman" w:cs="Times New Roman"/>
          <w:color w:val="2D2D2D"/>
        </w:rPr>
      </w:pPr>
      <w:r>
        <w:rPr>
          <w:rFonts w:ascii="Times New Roman" w:eastAsia="Times New Roman" w:hAnsi="Times New Roman" w:cs="Times New Roman"/>
          <w:color w:val="2D2D2D"/>
        </w:rPr>
        <w:t>The Company’s provision for loan losses was 29% lower in the second quarter of 2018 compared with a year earlier, and 38% lower in the first half of 2018 compared with a year earlier. Chapman noted the Company believes it continues to reserve prudently for probable loan losses, consistent with loan portfolio growth. The second quarter of 2018 loan loss provision was $315,000 compared with $445,000 in the second quarter of 2017, and the loan loss provision in the first half of 2018 was $337,000, compared with $545,000 in the first half of 2017.</w:t>
      </w:r>
    </w:p>
    <w:p w:rsidR="00BE5201" w:rsidRDefault="00BE5201" w:rsidP="00BE5201">
      <w:pPr>
        <w:spacing w:after="125" w:line="240" w:lineRule="auto"/>
        <w:rPr>
          <w:rFonts w:ascii="Times New Roman" w:eastAsia="Times New Roman" w:hAnsi="Times New Roman" w:cs="Times New Roman"/>
          <w:color w:val="2D2D2D"/>
        </w:rPr>
      </w:pPr>
      <w:r>
        <w:rPr>
          <w:rFonts w:ascii="Times New Roman" w:eastAsia="Times New Roman" w:hAnsi="Times New Roman" w:cs="Times New Roman"/>
          <w:color w:val="2D2D2D"/>
        </w:rPr>
        <w:t xml:space="preserve">Net interest income after provision for loan losses in the second quarter of 2018 was $5.49 million compared with $4.70 million in the second quarter of 2017. Net interest income after provision for loan losses in the first half of 2018 was $10.80 million compared with $9.43 million a year earlier. </w:t>
      </w:r>
    </w:p>
    <w:p w:rsidR="00BE5201" w:rsidRDefault="00BE5201" w:rsidP="00BE5201">
      <w:pPr>
        <w:spacing w:after="125" w:line="240" w:lineRule="auto"/>
        <w:rPr>
          <w:rFonts w:ascii="Times New Roman" w:eastAsia="Times New Roman" w:hAnsi="Times New Roman" w:cs="Times New Roman"/>
          <w:color w:val="2D2D2D"/>
        </w:rPr>
      </w:pPr>
      <w:r>
        <w:rPr>
          <w:rFonts w:ascii="Times New Roman" w:eastAsia="Times New Roman" w:hAnsi="Times New Roman" w:cs="Times New Roman"/>
          <w:color w:val="2D2D2D"/>
        </w:rPr>
        <w:t>Commercial lending growth, stable to slightly increasing rates, and expense management contributed to a 3.74% net interest margin, with a 3.60% interest spread in the second quarter of 2018, essentially stable compared with a year earlier. The Company’s average earned rates on loans, including fees, was 4.72% in the second quarter of 2018, up from 4.57% in the second quarter of 2017. Average rates on total earning assets for the quarter ended June 30, 2018 were 4.33%, compared to 4.26% a year earlier.</w:t>
      </w:r>
    </w:p>
    <w:p w:rsidR="00BE5201" w:rsidRDefault="00BE5201" w:rsidP="00BE5201">
      <w:pPr>
        <w:spacing w:after="125" w:line="240" w:lineRule="auto"/>
        <w:rPr>
          <w:rFonts w:ascii="Times New Roman" w:eastAsia="Times New Roman" w:hAnsi="Times New Roman" w:cs="Times New Roman"/>
          <w:color w:val="2D2D2D"/>
        </w:rPr>
      </w:pPr>
      <w:r>
        <w:rPr>
          <w:rFonts w:ascii="Times New Roman" w:eastAsia="Times New Roman" w:hAnsi="Times New Roman" w:cs="Times New Roman"/>
          <w:color w:val="2D2D2D"/>
        </w:rPr>
        <w:t>J. Todd Scruggs, Executive Vice President and CFO, commented: “While we look to keep pace with prevailing market interest rates, we have not focused on squeezing a few basis points out of every rate fluctuation. Our commercial clients pay what we believe to be a fair rate, which reflects the added value they receive from our services and advisory capabilities. We feel this philosophy has been the key to maintaining strong margins and a high level of client retention.”</w:t>
      </w:r>
    </w:p>
    <w:p w:rsidR="00BE5201" w:rsidRDefault="00BE5201" w:rsidP="00BE5201">
      <w:pPr>
        <w:spacing w:after="125" w:line="240" w:lineRule="auto"/>
        <w:rPr>
          <w:rFonts w:ascii="Times New Roman" w:eastAsia="Times New Roman" w:hAnsi="Times New Roman" w:cs="Times New Roman"/>
          <w:color w:val="2D2D2D"/>
        </w:rPr>
      </w:pPr>
      <w:r>
        <w:rPr>
          <w:rFonts w:ascii="Times New Roman" w:eastAsia="Times New Roman" w:hAnsi="Times New Roman" w:cs="Times New Roman"/>
          <w:color w:val="2D2D2D"/>
        </w:rPr>
        <w:t>Growth in core interest bearing deposits and a slight decline in higher-interest time deposits enabled the Company to achieve a 0.69% average rate paid on interest bearing deposits in the second quarter of 2018, compared with 0.63% a year earlier. “Growth in relationship banking, including linked deposits, has enabled our Company to build core deposits and manage rates,” Scruggs explained. “We have tried to avoid competing for high-rate time deposit business.”</w:t>
      </w:r>
    </w:p>
    <w:p w:rsidR="00BE5201" w:rsidRDefault="00BE5201" w:rsidP="00BE5201">
      <w:pPr>
        <w:spacing w:after="125" w:line="240" w:lineRule="auto"/>
        <w:rPr>
          <w:rFonts w:ascii="Times New Roman" w:eastAsia="Times New Roman" w:hAnsi="Times New Roman" w:cs="Times New Roman"/>
          <w:color w:val="2D2D2D"/>
        </w:rPr>
      </w:pPr>
      <w:r w:rsidRPr="00A90BDB">
        <w:rPr>
          <w:rFonts w:ascii="Times New Roman" w:eastAsia="Times New Roman" w:hAnsi="Times New Roman" w:cs="Times New Roman"/>
          <w:color w:val="2D2D2D"/>
        </w:rPr>
        <w:t>Noninterest income, including gains from the sale of residential mortgages to the seconda</w:t>
      </w:r>
      <w:r>
        <w:rPr>
          <w:rFonts w:ascii="Times New Roman" w:eastAsia="Times New Roman" w:hAnsi="Times New Roman" w:cs="Times New Roman"/>
          <w:color w:val="2D2D2D"/>
        </w:rPr>
        <w:t>ry market, revenue growth from BOTJ Investment Services, and income from the B</w:t>
      </w:r>
      <w:r w:rsidRPr="00A90BDB">
        <w:rPr>
          <w:rFonts w:ascii="Times New Roman" w:eastAsia="Times New Roman" w:hAnsi="Times New Roman" w:cs="Times New Roman"/>
          <w:color w:val="2D2D2D"/>
        </w:rPr>
        <w:t xml:space="preserve">ank's line of treasury management services for commercial customers </w:t>
      </w:r>
      <w:r>
        <w:rPr>
          <w:rFonts w:ascii="Times New Roman" w:eastAsia="Times New Roman" w:hAnsi="Times New Roman" w:cs="Times New Roman"/>
          <w:color w:val="2D2D2D"/>
        </w:rPr>
        <w:t xml:space="preserve">demonstrated strong year-over-year growth. Noninterest income rose 20% to $1.44 million for the three months ended June 30, 2018 from $1.20 million for the </w:t>
      </w:r>
      <w:r>
        <w:rPr>
          <w:rFonts w:ascii="Times New Roman" w:eastAsia="Times New Roman" w:hAnsi="Times New Roman" w:cs="Times New Roman"/>
          <w:color w:val="2D2D2D"/>
        </w:rPr>
        <w:lastRenderedPageBreak/>
        <w:t>three months ended June 30, 2017, and increased 27% to $2.63 million for the six months ended June 30, 2018 from $2.07 million for the six months ended June 30, 2017. Strong residential mortgage origination activity contributed to a pipeline of loans held for sale of $5.82 million at June 30, 2018 compared with $2.63 million at December 31, 2017, which the Company anticipates will generate gains from mortgage loan sales in the third quarter of 2018.</w:t>
      </w:r>
    </w:p>
    <w:p w:rsidR="00BE5201" w:rsidRDefault="00BE5201" w:rsidP="00BE5201">
      <w:pPr>
        <w:spacing w:after="125" w:line="240" w:lineRule="auto"/>
        <w:rPr>
          <w:rFonts w:ascii="Times New Roman" w:eastAsia="Times New Roman" w:hAnsi="Times New Roman" w:cs="Times New Roman"/>
          <w:color w:val="2D2D2D"/>
        </w:rPr>
      </w:pPr>
      <w:r>
        <w:rPr>
          <w:rFonts w:ascii="Times New Roman" w:eastAsia="Times New Roman" w:hAnsi="Times New Roman" w:cs="Times New Roman"/>
          <w:color w:val="2D2D2D"/>
        </w:rPr>
        <w:t>Chapman noted: “Mortgage lending has benefitted from trends that include strong housing demand in our markets, rising home prices, and the prospect of rising interest rates. However, we believe our ability to capture more than a fair share of market-driven activity stems from our team’s outreach, and leveraging our reputation for service, convenience, and solutions. Maintaining a customer-focused, high-touch approach to the mortgage lending process earns us business and referrals. We also focus on building banking relationships with mortgage clients, making the mortgage lending process much more than a one-time transaction.”</w:t>
      </w:r>
    </w:p>
    <w:p w:rsidR="00BE5201" w:rsidRDefault="00BE5201" w:rsidP="00BE5201">
      <w:pPr>
        <w:spacing w:after="125" w:line="240" w:lineRule="auto"/>
        <w:rPr>
          <w:rFonts w:ascii="Times New Roman" w:eastAsia="Times New Roman" w:hAnsi="Times New Roman" w:cs="Times New Roman"/>
          <w:color w:val="2D2D2D"/>
        </w:rPr>
      </w:pPr>
      <w:r w:rsidRPr="00A90BDB">
        <w:rPr>
          <w:rFonts w:ascii="Times New Roman" w:eastAsia="Times New Roman" w:hAnsi="Times New Roman" w:cs="Times New Roman"/>
          <w:color w:val="2D2D2D"/>
        </w:rPr>
        <w:t xml:space="preserve">Income from </w:t>
      </w:r>
      <w:r>
        <w:rPr>
          <w:rFonts w:ascii="Times New Roman" w:eastAsia="Times New Roman" w:hAnsi="Times New Roman" w:cs="Times New Roman"/>
          <w:color w:val="2D2D2D"/>
        </w:rPr>
        <w:t>service charges, fees and commissions, which included growing fee income from the Company’s suite of treasury services for businesses and income from BOJT Investment Services, increased to $465,000 in the second quarter of 2018 from $443,000 in the second quarter of 2017, and to $929,000 in the first half of 2018, up from $828,000 in the first half of 2017. A continuing trend of strong residential mortgage originations generated a 46% increase in gain on sales of loans in the second quarter of 2018 compared with a year earlier, and 54% year-over-year growth in the first half of 2018 compared with the first half of 2017.</w:t>
      </w:r>
    </w:p>
    <w:p w:rsidR="00BE5201" w:rsidRDefault="00BE5201" w:rsidP="00BE5201">
      <w:pPr>
        <w:spacing w:after="125" w:line="240" w:lineRule="auto"/>
        <w:rPr>
          <w:rFonts w:ascii="Times New Roman" w:eastAsia="Times New Roman" w:hAnsi="Times New Roman" w:cs="Times New Roman"/>
          <w:color w:val="2D2D2D"/>
        </w:rPr>
      </w:pPr>
      <w:r w:rsidRPr="00A90BDB">
        <w:rPr>
          <w:rFonts w:ascii="Times New Roman" w:eastAsia="Times New Roman" w:hAnsi="Times New Roman" w:cs="Times New Roman"/>
          <w:color w:val="2D2D2D"/>
        </w:rPr>
        <w:t xml:space="preserve">Noninterest expense for the three months ended </w:t>
      </w:r>
      <w:r>
        <w:rPr>
          <w:rFonts w:ascii="Times New Roman" w:eastAsia="Times New Roman" w:hAnsi="Times New Roman" w:cs="Times New Roman"/>
          <w:color w:val="2D2D2D"/>
        </w:rPr>
        <w:t>June 30, 2018 was $5.31 million compared with $4.76 million a year earlier, primarily reflecting increased personnel expenses from a larger team of producing individuals, professional expenses, and data processing expenses. This increase was partially offset by lower expenses in categories including occupancy, equipment and marketing. In the first half of 2018, noninterest expense was $10.40 million compared with $9.25 million in the first half of 2017.</w:t>
      </w:r>
    </w:p>
    <w:p w:rsidR="00BE5201" w:rsidRDefault="00BE5201" w:rsidP="00BE5201">
      <w:pPr>
        <w:spacing w:after="125" w:line="240" w:lineRule="auto"/>
        <w:rPr>
          <w:rFonts w:ascii="Times New Roman" w:eastAsia="Times New Roman" w:hAnsi="Times New Roman" w:cs="Times New Roman"/>
          <w:color w:val="2D2D2D"/>
        </w:rPr>
      </w:pPr>
      <w:r>
        <w:rPr>
          <w:rFonts w:ascii="Times New Roman" w:eastAsia="Times New Roman" w:hAnsi="Times New Roman" w:cs="Times New Roman"/>
          <w:color w:val="2D2D2D"/>
        </w:rPr>
        <w:t>“We are very encouraged to see that the productivity from our investments in quality people and selected support systems are having a definite impact on the Company’s efficiency,” noted Chapman. “In addition to the strong positive year-over-year gains in return on average assets and equity, our efficiency ratio of 73.3% for the quarter was the lowest it has been in quite some time. We continue to focus on greater efficiency, but we are pleased with the trend.”</w:t>
      </w:r>
    </w:p>
    <w:p w:rsidR="00BE5201" w:rsidRPr="00A90BDB" w:rsidRDefault="00BE5201" w:rsidP="00BE5201">
      <w:pPr>
        <w:spacing w:after="125" w:line="240" w:lineRule="auto"/>
        <w:rPr>
          <w:rFonts w:ascii="Times New Roman" w:eastAsia="Times New Roman" w:hAnsi="Times New Roman" w:cs="Times New Roman"/>
          <w:color w:val="2D2D2D"/>
        </w:rPr>
      </w:pPr>
      <w:r w:rsidRPr="00A90BDB">
        <w:rPr>
          <w:rFonts w:ascii="Times New Roman" w:eastAsia="Times New Roman" w:hAnsi="Times New Roman" w:cs="Times New Roman"/>
          <w:b/>
          <w:bCs/>
          <w:color w:val="2D2D2D"/>
        </w:rPr>
        <w:t xml:space="preserve">Balance Sheet </w:t>
      </w:r>
      <w:r>
        <w:rPr>
          <w:rFonts w:ascii="Times New Roman" w:eastAsia="Times New Roman" w:hAnsi="Times New Roman" w:cs="Times New Roman"/>
          <w:b/>
          <w:bCs/>
          <w:color w:val="2D2D2D"/>
        </w:rPr>
        <w:t xml:space="preserve">Review: </w:t>
      </w:r>
      <w:r w:rsidRPr="00A90BDB">
        <w:rPr>
          <w:rFonts w:ascii="Times New Roman" w:eastAsia="Times New Roman" w:hAnsi="Times New Roman" w:cs="Times New Roman"/>
          <w:b/>
          <w:bCs/>
          <w:color w:val="2D2D2D"/>
        </w:rPr>
        <w:t>Growth</w:t>
      </w:r>
      <w:r>
        <w:rPr>
          <w:rFonts w:ascii="Times New Roman" w:eastAsia="Times New Roman" w:hAnsi="Times New Roman" w:cs="Times New Roman"/>
          <w:b/>
          <w:bCs/>
          <w:color w:val="2D2D2D"/>
        </w:rPr>
        <w:t>, Asset Quality</w:t>
      </w:r>
    </w:p>
    <w:p w:rsidR="00BE5201" w:rsidRDefault="00BE5201" w:rsidP="00BE5201">
      <w:pPr>
        <w:spacing w:after="125" w:line="240" w:lineRule="auto"/>
        <w:rPr>
          <w:rFonts w:ascii="Times New Roman" w:eastAsia="Times New Roman" w:hAnsi="Times New Roman" w:cs="Times New Roman"/>
          <w:color w:val="2D2D2D"/>
        </w:rPr>
      </w:pPr>
      <w:r w:rsidRPr="00A90BDB">
        <w:rPr>
          <w:rFonts w:ascii="Times New Roman" w:eastAsia="Times New Roman" w:hAnsi="Times New Roman" w:cs="Times New Roman"/>
          <w:color w:val="2D2D2D"/>
        </w:rPr>
        <w:t>Total assets</w:t>
      </w:r>
      <w:r>
        <w:rPr>
          <w:rFonts w:ascii="Times New Roman" w:eastAsia="Times New Roman" w:hAnsi="Times New Roman" w:cs="Times New Roman"/>
          <w:color w:val="2D2D2D"/>
        </w:rPr>
        <w:t xml:space="preserve"> were a record $655.87 million, up from $626.34 million at December 31, 2017. T</w:t>
      </w:r>
      <w:r w:rsidRPr="00A90BDB">
        <w:rPr>
          <w:rFonts w:ascii="Times New Roman" w:eastAsia="Times New Roman" w:hAnsi="Times New Roman" w:cs="Times New Roman"/>
          <w:color w:val="2D2D2D"/>
        </w:rPr>
        <w:t xml:space="preserve">he primary driver of asset growth </w:t>
      </w:r>
      <w:r>
        <w:rPr>
          <w:rFonts w:ascii="Times New Roman" w:eastAsia="Times New Roman" w:hAnsi="Times New Roman" w:cs="Times New Roman"/>
          <w:color w:val="2D2D2D"/>
        </w:rPr>
        <w:t xml:space="preserve">continues to be </w:t>
      </w:r>
      <w:r w:rsidRPr="00A90BDB">
        <w:rPr>
          <w:rFonts w:ascii="Times New Roman" w:eastAsia="Times New Roman" w:hAnsi="Times New Roman" w:cs="Times New Roman"/>
          <w:color w:val="2D2D2D"/>
        </w:rPr>
        <w:t xml:space="preserve">loans held for investment, net of the allowance for loan losses, which totaled </w:t>
      </w:r>
      <w:r>
        <w:rPr>
          <w:rFonts w:ascii="Times New Roman" w:eastAsia="Times New Roman" w:hAnsi="Times New Roman" w:cs="Times New Roman"/>
          <w:color w:val="2D2D2D"/>
        </w:rPr>
        <w:t>$523.73 million, up from $491.02</w:t>
      </w:r>
      <w:r w:rsidRPr="00A90BDB">
        <w:rPr>
          <w:rFonts w:ascii="Times New Roman" w:eastAsia="Times New Roman" w:hAnsi="Times New Roman" w:cs="Times New Roman"/>
          <w:color w:val="2D2D2D"/>
        </w:rPr>
        <w:t xml:space="preserve"> million</w:t>
      </w:r>
      <w:r>
        <w:rPr>
          <w:rFonts w:ascii="Times New Roman" w:eastAsia="Times New Roman" w:hAnsi="Times New Roman" w:cs="Times New Roman"/>
          <w:color w:val="2D2D2D"/>
        </w:rPr>
        <w:t xml:space="preserve"> at December 31, 2017. Loans held for sale were more than double the total at year-end 2017, reflecting the consistent growth of residential mortgage originations and positioning those loans for placement in the secondary market.</w:t>
      </w:r>
    </w:p>
    <w:p w:rsidR="00BE5201" w:rsidRDefault="00BE5201" w:rsidP="00BE5201">
      <w:pPr>
        <w:spacing w:after="125" w:line="240" w:lineRule="auto"/>
        <w:rPr>
          <w:rFonts w:ascii="Times New Roman" w:eastAsia="Times New Roman" w:hAnsi="Times New Roman" w:cs="Times New Roman"/>
          <w:color w:val="2D2D2D"/>
        </w:rPr>
      </w:pPr>
      <w:r w:rsidRPr="00A90BDB">
        <w:rPr>
          <w:rFonts w:ascii="Times New Roman" w:eastAsia="Times New Roman" w:hAnsi="Times New Roman" w:cs="Times New Roman"/>
          <w:color w:val="2D2D2D"/>
        </w:rPr>
        <w:t>The Comp</w:t>
      </w:r>
      <w:r>
        <w:rPr>
          <w:rFonts w:ascii="Times New Roman" w:eastAsia="Times New Roman" w:hAnsi="Times New Roman" w:cs="Times New Roman"/>
          <w:color w:val="2D2D2D"/>
        </w:rPr>
        <w:t>any’s commercial loan portfolio, primarily commercial and industrial (C&amp;I</w:t>
      </w:r>
      <w:r w:rsidRPr="00A90BDB">
        <w:rPr>
          <w:rFonts w:ascii="Times New Roman" w:eastAsia="Times New Roman" w:hAnsi="Times New Roman" w:cs="Times New Roman"/>
          <w:color w:val="2D2D2D"/>
        </w:rPr>
        <w:t>)</w:t>
      </w:r>
      <w:r>
        <w:rPr>
          <w:rFonts w:ascii="Times New Roman" w:eastAsia="Times New Roman" w:hAnsi="Times New Roman" w:cs="Times New Roman"/>
          <w:color w:val="2D2D2D"/>
        </w:rPr>
        <w:t xml:space="preserve"> loans,</w:t>
      </w:r>
      <w:r w:rsidRPr="00A90BDB">
        <w:rPr>
          <w:rFonts w:ascii="Times New Roman" w:eastAsia="Times New Roman" w:hAnsi="Times New Roman" w:cs="Times New Roman"/>
          <w:color w:val="2D2D2D"/>
        </w:rPr>
        <w:t xml:space="preserve"> increased</w:t>
      </w:r>
      <w:r>
        <w:rPr>
          <w:rFonts w:ascii="Times New Roman" w:eastAsia="Times New Roman" w:hAnsi="Times New Roman" w:cs="Times New Roman"/>
          <w:color w:val="2D2D2D"/>
        </w:rPr>
        <w:t xml:space="preserve"> 5% to $102.16 million at June 30, 2018 compared with commercial loans at June 30, 2017. </w:t>
      </w:r>
      <w:r w:rsidRPr="00A90BDB">
        <w:rPr>
          <w:rFonts w:ascii="Times New Roman" w:eastAsia="Times New Roman" w:hAnsi="Times New Roman" w:cs="Times New Roman"/>
          <w:color w:val="2D2D2D"/>
        </w:rPr>
        <w:t xml:space="preserve">Owner occupied real estate loans, led by </w:t>
      </w:r>
      <w:r>
        <w:rPr>
          <w:rFonts w:ascii="Times New Roman" w:eastAsia="Times New Roman" w:hAnsi="Times New Roman" w:cs="Times New Roman"/>
          <w:color w:val="2D2D2D"/>
        </w:rPr>
        <w:t xml:space="preserve">CRE lending, </w:t>
      </w:r>
      <w:r w:rsidRPr="00A90BDB">
        <w:rPr>
          <w:rFonts w:ascii="Times New Roman" w:eastAsia="Times New Roman" w:hAnsi="Times New Roman" w:cs="Times New Roman"/>
          <w:color w:val="2D2D2D"/>
        </w:rPr>
        <w:t xml:space="preserve">increased </w:t>
      </w:r>
      <w:r>
        <w:rPr>
          <w:rFonts w:ascii="Times New Roman" w:eastAsia="Times New Roman" w:hAnsi="Times New Roman" w:cs="Times New Roman"/>
          <w:color w:val="2D2D2D"/>
        </w:rPr>
        <w:t xml:space="preserve">7% year-over-year to $155.88 million, and non-owner </w:t>
      </w:r>
      <w:r w:rsidRPr="00A90BDB">
        <w:rPr>
          <w:rFonts w:ascii="Times New Roman" w:eastAsia="Times New Roman" w:hAnsi="Times New Roman" w:cs="Times New Roman"/>
          <w:color w:val="2D2D2D"/>
        </w:rPr>
        <w:t xml:space="preserve">occupied real estate (primarily commercial and investment property) increased </w:t>
      </w:r>
      <w:r>
        <w:rPr>
          <w:rFonts w:ascii="Times New Roman" w:eastAsia="Times New Roman" w:hAnsi="Times New Roman" w:cs="Times New Roman"/>
          <w:color w:val="2D2D2D"/>
        </w:rPr>
        <w:t>by 16% year-over-year to $171.57 million. Total construction lending slowed year-over-year, primarily reflecting project seasonality and a very strong 2017 for both residential and commercial real estate construction activity. Consumer loans and consumer lines of credit totals were essentially unchanged from the prior year.</w:t>
      </w:r>
    </w:p>
    <w:p w:rsidR="00BE5201" w:rsidRDefault="00BE5201" w:rsidP="00BE5201">
      <w:pPr>
        <w:spacing w:after="125" w:line="240" w:lineRule="auto"/>
        <w:rPr>
          <w:rFonts w:ascii="Times New Roman" w:eastAsia="Times New Roman" w:hAnsi="Times New Roman" w:cs="Times New Roman"/>
          <w:color w:val="2D2D2D"/>
        </w:rPr>
      </w:pPr>
      <w:r w:rsidRPr="00A90BDB">
        <w:rPr>
          <w:rFonts w:ascii="Times New Roman" w:eastAsia="Times New Roman" w:hAnsi="Times New Roman" w:cs="Times New Roman"/>
          <w:color w:val="2D2D2D"/>
        </w:rPr>
        <w:t xml:space="preserve">Total deposits at </w:t>
      </w:r>
      <w:r>
        <w:rPr>
          <w:rFonts w:ascii="Times New Roman" w:eastAsia="Times New Roman" w:hAnsi="Times New Roman" w:cs="Times New Roman"/>
          <w:color w:val="2D2D2D"/>
        </w:rPr>
        <w:t xml:space="preserve">June 30, 2018 rose to $596.07 million from $567.49 million at December 31, 2017 and $532.86 million at June 30, </w:t>
      </w:r>
      <w:r w:rsidRPr="00A90BDB">
        <w:rPr>
          <w:rFonts w:ascii="Times New Roman" w:eastAsia="Times New Roman" w:hAnsi="Times New Roman" w:cs="Times New Roman"/>
          <w:color w:val="2D2D2D"/>
        </w:rPr>
        <w:t>2017</w:t>
      </w:r>
      <w:r>
        <w:rPr>
          <w:rFonts w:ascii="Times New Roman" w:eastAsia="Times New Roman" w:hAnsi="Times New Roman" w:cs="Times New Roman"/>
          <w:color w:val="2D2D2D"/>
        </w:rPr>
        <w:t>. N</w:t>
      </w:r>
      <w:r w:rsidRPr="00A90BDB">
        <w:rPr>
          <w:rFonts w:ascii="Times New Roman" w:eastAsia="Times New Roman" w:hAnsi="Times New Roman" w:cs="Times New Roman"/>
          <w:color w:val="2D2D2D"/>
        </w:rPr>
        <w:t>oninterest bearing deposits</w:t>
      </w:r>
      <w:r>
        <w:rPr>
          <w:rFonts w:ascii="Times New Roman" w:eastAsia="Times New Roman" w:hAnsi="Times New Roman" w:cs="Times New Roman"/>
          <w:color w:val="2D2D2D"/>
        </w:rPr>
        <w:t xml:space="preserve"> rose to $86.76 million at June 30, 2018 from $83.96 million at March 31, 2018 and $74.10 million at December 31, 2017. Interest-bearing demand and savings deposits were $328.08 million at June 30, 2018 compared with $318.52 million at </w:t>
      </w:r>
      <w:r>
        <w:rPr>
          <w:rFonts w:ascii="Times New Roman" w:eastAsia="Times New Roman" w:hAnsi="Times New Roman" w:cs="Times New Roman"/>
          <w:color w:val="2D2D2D"/>
        </w:rPr>
        <w:lastRenderedPageBreak/>
        <w:t>March 31, 2018 and $307.99 million at December 31, 2017. Core deposits were approximately 70% of total deposits.</w:t>
      </w:r>
    </w:p>
    <w:p w:rsidR="00BE5201" w:rsidRDefault="00BE5201" w:rsidP="00BE5201">
      <w:pPr>
        <w:spacing w:after="125" w:line="240" w:lineRule="auto"/>
        <w:rPr>
          <w:rFonts w:ascii="Times New Roman" w:eastAsia="Times New Roman" w:hAnsi="Times New Roman" w:cs="Times New Roman"/>
          <w:color w:val="2D2D2D"/>
        </w:rPr>
      </w:pPr>
      <w:r w:rsidRPr="00F84DCA">
        <w:rPr>
          <w:rFonts w:ascii="Times New Roman" w:eastAsia="Times New Roman" w:hAnsi="Times New Roman" w:cs="Times New Roman"/>
          <w:color w:val="2D2D2D"/>
        </w:rPr>
        <w:t xml:space="preserve">Asset quality remained strong, with a nonperforming loans to total loans ratio of </w:t>
      </w:r>
      <w:r>
        <w:rPr>
          <w:rFonts w:ascii="Times New Roman" w:eastAsia="Times New Roman" w:hAnsi="Times New Roman" w:cs="Times New Roman"/>
          <w:color w:val="2D2D2D"/>
        </w:rPr>
        <w:t xml:space="preserve">0.60% at June 30, 2018, compared with </w:t>
      </w:r>
      <w:r w:rsidRPr="00F84DCA">
        <w:rPr>
          <w:rFonts w:ascii="Times New Roman" w:eastAsia="Times New Roman" w:hAnsi="Times New Roman" w:cs="Times New Roman"/>
          <w:color w:val="2D2D2D"/>
        </w:rPr>
        <w:t>0.87%</w:t>
      </w:r>
      <w:r>
        <w:rPr>
          <w:rFonts w:ascii="Times New Roman" w:eastAsia="Times New Roman" w:hAnsi="Times New Roman" w:cs="Times New Roman"/>
          <w:color w:val="2D2D2D"/>
        </w:rPr>
        <w:t xml:space="preserve"> at December 31, 2017. </w:t>
      </w:r>
      <w:r w:rsidRPr="00F84DCA">
        <w:rPr>
          <w:rFonts w:ascii="Times New Roman" w:eastAsia="Times New Roman" w:hAnsi="Times New Roman" w:cs="Times New Roman"/>
          <w:color w:val="2D2D2D"/>
        </w:rPr>
        <w:t>Total nonperforming assets</w:t>
      </w:r>
      <w:r>
        <w:rPr>
          <w:rFonts w:ascii="Times New Roman" w:eastAsia="Times New Roman" w:hAnsi="Times New Roman" w:cs="Times New Roman"/>
          <w:color w:val="2D2D2D"/>
        </w:rPr>
        <w:t xml:space="preserve">, inclusive of Other Real Estate Owned (OREO), declined 17% from year-end 2017 to $5.78 million. Total nonperforming loans of $3.20 million at June 30, 2018 were down 26% from $4.31 million at December 31, 2017. </w:t>
      </w:r>
      <w:r w:rsidRPr="00F84DCA">
        <w:rPr>
          <w:rFonts w:ascii="Times New Roman" w:eastAsia="Times New Roman" w:hAnsi="Times New Roman" w:cs="Times New Roman"/>
          <w:color w:val="2D2D2D"/>
        </w:rPr>
        <w:t xml:space="preserve">The </w:t>
      </w:r>
      <w:r>
        <w:rPr>
          <w:rFonts w:ascii="Times New Roman" w:eastAsia="Times New Roman" w:hAnsi="Times New Roman" w:cs="Times New Roman"/>
          <w:color w:val="2D2D2D"/>
        </w:rPr>
        <w:t>Company’s allowance for loan losses was $4.69 million, with a ratio of 0.89% allowance for loan losses to total loans and a 146.7% loss allowance to nonperforming loans.</w:t>
      </w:r>
    </w:p>
    <w:p w:rsidR="00BE5201" w:rsidRDefault="00BE5201" w:rsidP="00BE5201">
      <w:pPr>
        <w:spacing w:after="125" w:line="240" w:lineRule="auto"/>
        <w:rPr>
          <w:rFonts w:ascii="Times New Roman" w:eastAsia="Times New Roman" w:hAnsi="Times New Roman" w:cs="Times New Roman"/>
          <w:color w:val="2D2D2D"/>
        </w:rPr>
      </w:pPr>
      <w:r w:rsidRPr="00A90BDB">
        <w:rPr>
          <w:rFonts w:ascii="Times New Roman" w:eastAsia="Times New Roman" w:hAnsi="Times New Roman" w:cs="Times New Roman"/>
          <w:color w:val="2D2D2D"/>
        </w:rPr>
        <w:t>The Company grew measures of stockholder value</w:t>
      </w:r>
      <w:r>
        <w:rPr>
          <w:rFonts w:ascii="Times New Roman" w:eastAsia="Times New Roman" w:hAnsi="Times New Roman" w:cs="Times New Roman"/>
          <w:color w:val="2D2D2D"/>
        </w:rPr>
        <w:t>. Total stockholders’ equity was $52.52 million at June 30, 2018, compared with $51.68 million at March 31, 2018 and $51.67 million at December 31, 2017. Retained earnings were $14.17 million, up from $12.27 million at December 31, 2017.T</w:t>
      </w:r>
      <w:r w:rsidRPr="00A90BDB">
        <w:rPr>
          <w:rFonts w:ascii="Times New Roman" w:eastAsia="Times New Roman" w:hAnsi="Times New Roman" w:cs="Times New Roman"/>
          <w:color w:val="2D2D2D"/>
        </w:rPr>
        <w:t>angible book value per share</w:t>
      </w:r>
      <w:r>
        <w:rPr>
          <w:rFonts w:ascii="Times New Roman" w:eastAsia="Times New Roman" w:hAnsi="Times New Roman" w:cs="Times New Roman"/>
          <w:color w:val="2D2D2D"/>
        </w:rPr>
        <w:t xml:space="preserve"> increased to $12.00 at June 30, 2018 from $11.80 at December 31, 2017. </w:t>
      </w:r>
      <w:r w:rsidRPr="00A90BDB">
        <w:rPr>
          <w:rFonts w:ascii="Times New Roman" w:eastAsia="Times New Roman" w:hAnsi="Times New Roman" w:cs="Times New Roman"/>
          <w:color w:val="2D2D2D"/>
        </w:rPr>
        <w:t>The Bank's regulatory capital ratios continued to exceed accepted regulatory standards for a well-capitalized institution.</w:t>
      </w:r>
    </w:p>
    <w:p w:rsidR="00BE5201" w:rsidRDefault="00BE5201" w:rsidP="00BE5201">
      <w:pPr>
        <w:spacing w:before="240" w:after="125" w:line="240" w:lineRule="auto"/>
        <w:rPr>
          <w:rFonts w:ascii="Times New Roman" w:eastAsia="Times New Roman" w:hAnsi="Times New Roman" w:cs="Times New Roman"/>
          <w:b/>
          <w:bCs/>
          <w:color w:val="2D2D2D"/>
        </w:rPr>
      </w:pPr>
      <w:r w:rsidRPr="00C24FAC">
        <w:rPr>
          <w:rFonts w:ascii="Times New Roman" w:eastAsia="Times New Roman" w:hAnsi="Times New Roman" w:cs="Times New Roman"/>
          <w:color w:val="2D2D2D"/>
        </w:rPr>
        <w:t>Chapman concluded: “The positive impact of the investments in growth is generating revenue, and supporting new and expanded relationships with customers throughout our served markets. Looking ahead to the second half of 2018, economic conditions are positive and we have a team in place that we believe will generate continued revenue and earnings growth, and with it, e</w:t>
      </w:r>
      <w:r>
        <w:rPr>
          <w:rFonts w:ascii="Times New Roman" w:eastAsia="Times New Roman" w:hAnsi="Times New Roman" w:cs="Times New Roman"/>
          <w:color w:val="2D2D2D"/>
        </w:rPr>
        <w:t>n</w:t>
      </w:r>
      <w:r w:rsidRPr="00C24FAC">
        <w:rPr>
          <w:rFonts w:ascii="Times New Roman" w:eastAsia="Times New Roman" w:hAnsi="Times New Roman" w:cs="Times New Roman"/>
          <w:color w:val="2D2D2D"/>
        </w:rPr>
        <w:t>hanced value for shareholders.”</w:t>
      </w:r>
    </w:p>
    <w:p w:rsidR="00BE5201" w:rsidRPr="00A90BDB" w:rsidRDefault="00BE5201" w:rsidP="00BE5201">
      <w:pPr>
        <w:spacing w:after="125" w:line="240" w:lineRule="auto"/>
        <w:rPr>
          <w:rFonts w:ascii="Times New Roman" w:eastAsia="Times New Roman" w:hAnsi="Times New Roman" w:cs="Times New Roman"/>
          <w:color w:val="2D2D2D"/>
        </w:rPr>
      </w:pPr>
      <w:r w:rsidRPr="00A90BDB">
        <w:rPr>
          <w:rFonts w:ascii="Times New Roman" w:eastAsia="Times New Roman" w:hAnsi="Times New Roman" w:cs="Times New Roman"/>
          <w:b/>
          <w:bCs/>
          <w:color w:val="2D2D2D"/>
        </w:rPr>
        <w:t>About the Company</w:t>
      </w:r>
    </w:p>
    <w:p w:rsidR="00BE5201" w:rsidRPr="00A90BDB" w:rsidRDefault="00BE5201" w:rsidP="00BE5201">
      <w:pPr>
        <w:spacing w:line="240" w:lineRule="auto"/>
        <w:rPr>
          <w:rFonts w:ascii="Times New Roman" w:hAnsi="Times New Roman" w:cs="Times New Roman"/>
        </w:rPr>
      </w:pPr>
      <w:r w:rsidRPr="00A90BDB">
        <w:rPr>
          <w:rFonts w:ascii="Times New Roman" w:hAnsi="Times New Roman" w:cs="Times New Roman"/>
        </w:rPr>
        <w:t xml:space="preserve">Bank of the James, a wholly owned subsidiary of Bank of the James Financial Group, Inc. opened for business in July 1999 and is headquartered in Lynchburg, Virginia. The bank operates 13 banking offices </w:t>
      </w:r>
      <w:r>
        <w:rPr>
          <w:rFonts w:ascii="Times New Roman" w:hAnsi="Times New Roman" w:cs="Times New Roman"/>
        </w:rPr>
        <w:t xml:space="preserve">three </w:t>
      </w:r>
      <w:r w:rsidRPr="00A90BDB">
        <w:rPr>
          <w:rFonts w:ascii="Times New Roman" w:hAnsi="Times New Roman" w:cs="Times New Roman"/>
        </w:rPr>
        <w:t>limited services offices</w:t>
      </w:r>
      <w:r>
        <w:rPr>
          <w:rFonts w:ascii="Times New Roman" w:hAnsi="Times New Roman" w:cs="Times New Roman"/>
        </w:rPr>
        <w:t>, and two loan production offices</w:t>
      </w:r>
      <w:r w:rsidRPr="00A90BDB">
        <w:rPr>
          <w:rFonts w:ascii="Times New Roman" w:hAnsi="Times New Roman" w:cs="Times New Roman"/>
        </w:rPr>
        <w:t xml:space="preserve"> in Virginia serving </w:t>
      </w:r>
      <w:proofErr w:type="spellStart"/>
      <w:r w:rsidRPr="00A90BDB">
        <w:rPr>
          <w:rFonts w:ascii="Times New Roman" w:hAnsi="Times New Roman" w:cs="Times New Roman"/>
        </w:rPr>
        <w:t>Altavista</w:t>
      </w:r>
      <w:proofErr w:type="spellEnd"/>
      <w:r w:rsidRPr="00A90BDB">
        <w:rPr>
          <w:rFonts w:ascii="Times New Roman" w:hAnsi="Times New Roman" w:cs="Times New Roman"/>
        </w:rPr>
        <w:t xml:space="preserve">, Amherst, Appomattox, Bedford, Charlottesville, Forest, Harrisonburg, Lynchburg, Madison Heights, and Roanoke. The bank offers full investment and insurance services through its BOTJ Investment Services division and BOTJ Insurance, Inc. subsidiary.  The bank provides mortgage loan origination through Bank of the James Mortgage, a division of Bank of the James. Bank of the James Financial Group, Inc. common stock is listed under the symbol “BOTJ” on the NASDAQ Stock Market, LLC.  Additional information on the Company is available at </w:t>
      </w:r>
      <w:hyperlink r:id="rId6" w:history="1">
        <w:r w:rsidRPr="00EC4642">
          <w:rPr>
            <w:rStyle w:val="Hyperlink"/>
            <w:rFonts w:ascii="Times New Roman" w:hAnsi="Times New Roman" w:cs="Times New Roman"/>
          </w:rPr>
          <w:t>www.bankofthejames.bank</w:t>
        </w:r>
      </w:hyperlink>
      <w:r w:rsidRPr="00A90BDB">
        <w:rPr>
          <w:rFonts w:ascii="Times New Roman" w:hAnsi="Times New Roman" w:cs="Times New Roman"/>
        </w:rPr>
        <w:t>.</w:t>
      </w:r>
    </w:p>
    <w:p w:rsidR="00BE5201" w:rsidRPr="00A90BDB" w:rsidRDefault="00BE5201" w:rsidP="00BE5201">
      <w:pPr>
        <w:spacing w:after="125" w:line="240" w:lineRule="auto"/>
        <w:rPr>
          <w:rFonts w:ascii="Times New Roman" w:eastAsia="Times New Roman" w:hAnsi="Times New Roman" w:cs="Times New Roman"/>
          <w:color w:val="2D2D2D"/>
        </w:rPr>
      </w:pPr>
      <w:r w:rsidRPr="00A90BDB">
        <w:rPr>
          <w:rFonts w:ascii="Times New Roman" w:eastAsia="Times New Roman" w:hAnsi="Times New Roman" w:cs="Times New Roman"/>
          <w:b/>
          <w:bCs/>
          <w:color w:val="2D2D2D"/>
        </w:rPr>
        <w:t>Cautionary Statement Regarding Forward-Looking Statements</w:t>
      </w:r>
    </w:p>
    <w:p w:rsidR="00BE5201" w:rsidRPr="00A90BDB" w:rsidRDefault="00BE5201" w:rsidP="00BE5201">
      <w:pPr>
        <w:spacing w:line="240" w:lineRule="auto"/>
        <w:rPr>
          <w:rFonts w:ascii="Times New Roman" w:eastAsia="Times New Roman" w:hAnsi="Times New Roman" w:cs="Times New Roman"/>
          <w:color w:val="2D2D2D"/>
        </w:rPr>
      </w:pPr>
      <w:r w:rsidRPr="00A90BDB">
        <w:rPr>
          <w:rFonts w:ascii="Times New Roman" w:eastAsia="Times New Roman" w:hAnsi="Times New Roman" w:cs="Times New Roman"/>
          <w:color w:val="2D2D2D"/>
        </w:rPr>
        <w:t>This press release contains statements that constitute "forward-looking statements" within the meaning of the Private Securities Litigation Reform Act of 1995. The words "believe," "estimate," "expect," "intend," "anticipate," "plan" and similar expressions and variations thereof identify certain of such forward-looking statements which speak only as of the dates on which they were made. Bank of the James Financial Group, Inc. (the "Company") undertakes no obligation to publicly update or revise any forward-looking statements, whether as a result of new information, future events, or otherwise. Readers are cautioned that any such forward-looking statements are not guarantees of future performance and involve risks and uncertainties, and that actual results may differ materially from those indicated in the forward-looking statements as a result of various factors. Such factors include, but are not limited to, competition, general economic conditions, potential changes in interest rates, and changes in the value of real estate securing loans made by Bank of the James (the "Bank"), a subsidiary of the Company. Additional information concerning factors that could cause actual results to materially differ from those in the forward-looking statements is contained in the Company's filings with the Securities and Exchange Commission and previously filed by the Bank (as predecessor of the Company) with the Federal Reserve Board.</w:t>
      </w:r>
    </w:p>
    <w:p w:rsidR="00BE5201" w:rsidRPr="00A90BDB" w:rsidRDefault="00BE5201" w:rsidP="00BE5201">
      <w:pPr>
        <w:pStyle w:val="NoSpacing"/>
        <w:rPr>
          <w:rFonts w:ascii="Times New Roman" w:eastAsia="Times New Roman" w:hAnsi="Times New Roman" w:cs="Times New Roman"/>
        </w:rPr>
      </w:pPr>
      <w:r w:rsidRPr="00A90BDB">
        <w:rPr>
          <w:rFonts w:ascii="Times New Roman" w:eastAsia="Times New Roman" w:hAnsi="Times New Roman" w:cs="Times New Roman"/>
        </w:rPr>
        <w:t>CONTACT: J. Todd Scruggs, Executive Vice President and Chief Financial Officer (434) 846-2000.</w:t>
      </w:r>
    </w:p>
    <w:p w:rsidR="00BE5201" w:rsidRPr="00A90BDB" w:rsidRDefault="00BE5201" w:rsidP="00BE5201">
      <w:pPr>
        <w:pStyle w:val="NoSpacing"/>
        <w:rPr>
          <w:rFonts w:ascii="Times New Roman" w:eastAsia="Times New Roman" w:hAnsi="Times New Roman" w:cs="Times New Roman"/>
        </w:rPr>
      </w:pPr>
      <w:hyperlink r:id="rId7" w:history="1">
        <w:r w:rsidRPr="00A90BDB">
          <w:rPr>
            <w:rStyle w:val="Hyperlink"/>
            <w:rFonts w:ascii="Times New Roman" w:eastAsia="Times New Roman" w:hAnsi="Times New Roman" w:cs="Times New Roman"/>
          </w:rPr>
          <w:t>tscruggs@bankofthejames.com</w:t>
        </w:r>
      </w:hyperlink>
      <w:r w:rsidRPr="00A90BDB">
        <w:rPr>
          <w:rFonts w:ascii="Times New Roman" w:eastAsia="Times New Roman" w:hAnsi="Times New Roman" w:cs="Times New Roman"/>
        </w:rPr>
        <w:t xml:space="preserve"> </w:t>
      </w:r>
    </w:p>
    <w:p w:rsidR="00BE5201" w:rsidRPr="00A90BDB" w:rsidRDefault="00BE5201" w:rsidP="00BE5201">
      <w:pPr>
        <w:rPr>
          <w:rFonts w:ascii="Times New Roman" w:hAnsi="Times New Roman" w:cs="Times New Roman"/>
        </w:rPr>
      </w:pPr>
    </w:p>
    <w:p w:rsidR="008966D2" w:rsidRDefault="008966D2">
      <w:bookmarkStart w:id="0" w:name="_GoBack"/>
      <w:bookmarkEnd w:id="0"/>
    </w:p>
    <w:sectPr w:rsidR="00896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40A2"/>
    <w:multiLevelType w:val="hybridMultilevel"/>
    <w:tmpl w:val="86D0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01"/>
    <w:rsid w:val="008966D2"/>
    <w:rsid w:val="00BE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52455-F183-40A9-A0C9-23C4298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20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201"/>
    <w:pPr>
      <w:ind w:left="720"/>
      <w:contextualSpacing/>
    </w:pPr>
  </w:style>
  <w:style w:type="paragraph" w:styleId="NoSpacing">
    <w:name w:val="No Spacing"/>
    <w:uiPriority w:val="1"/>
    <w:qFormat/>
    <w:rsid w:val="00BE5201"/>
    <w:pPr>
      <w:spacing w:after="0" w:line="240" w:lineRule="auto"/>
    </w:pPr>
    <w:rPr>
      <w:rFonts w:eastAsiaTheme="minorEastAsia"/>
    </w:rPr>
  </w:style>
  <w:style w:type="character" w:styleId="Hyperlink">
    <w:name w:val="Hyperlink"/>
    <w:basedOn w:val="DefaultParagraphFont"/>
    <w:uiPriority w:val="99"/>
    <w:unhideWhenUsed/>
    <w:rsid w:val="00BE5201"/>
    <w:rPr>
      <w:color w:val="0563C1" w:themeColor="hyperlink"/>
      <w:u w:val="single"/>
    </w:rPr>
  </w:style>
  <w:style w:type="paragraph" w:customStyle="1" w:styleId="release">
    <w:name w:val="release"/>
    <w:basedOn w:val="Normal"/>
    <w:uiPriority w:val="99"/>
    <w:rsid w:val="00BE5201"/>
    <w:pPr>
      <w:spacing w:after="240" w:line="360" w:lineRule="auto"/>
    </w:pPr>
    <w:rPr>
      <w:rFonts w:ascii="Arial" w:eastAsia="Times"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cruggs@bankoftheja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kofthejames.ban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Spencer</dc:creator>
  <cp:keywords/>
  <dc:description/>
  <cp:lastModifiedBy>Vickie Spencer</cp:lastModifiedBy>
  <cp:revision>1</cp:revision>
  <dcterms:created xsi:type="dcterms:W3CDTF">2018-07-20T16:12:00Z</dcterms:created>
  <dcterms:modified xsi:type="dcterms:W3CDTF">2018-07-20T16:12:00Z</dcterms:modified>
</cp:coreProperties>
</file>